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24 vom 16. November 2023</w:t>
      </w:r>
    </w:p>
    <w:p>
      <w:r>
        <w:t>VS Kantonsgericht, 2023-11-16, FR</w:t>
      </w:r>
    </w:p>
    <w:p>
      <w:r>
        <w:rPr>
          <w:b/>
        </w:rPr>
        <w:t xml:space="preserve">Quelle: </w:t>
      </w:r>
      <w:r>
        <w:t>https://mcp.opencaselaw.ch/entscheid/vs_gerichte_S2 22 24</w:t>
      </w:r>
    </w:p>
    <w:p>
      <w:r>
        <w:t>FR: VS_GERICHTE S2 22 24 du 16 novembre 2023</w:t>
      </w:r>
    </w:p>
    <w:p>
      <w:r>
        <w:t>IT: VS_GERICHTE S2 22 24 del 16 novembre 2023</w:t>
      </w:r>
    </w:p>
    <w:p>
      <w:pPr>
        <w:pStyle w:val="Heading2"/>
      </w:pPr>
      <w:r>
        <w:t>Regeste</w:t>
      </w:r>
    </w:p>
    <w:p>
      <w:r>
        <w:t>S2 22 24 ARRÊT DU 16 NOVEMBRE 2023 Tribunal cantonal du Valais Cour des assurances sociales Composition : Candido Prada, président ; Dr. Thierry Schnyder et Christophe Joris, juges ; Garance Klay, greffière en la cause X _________, recourant, représenté par Maître Luc Del Rizzo, avocat, 1870 Monthey 2 contre CAISSE NATIONALE SUISSE D'ASSURANCE EN CAS D'ACCIDENTS (CNA), intimée (art. 36 LAA et 43 LPGA ; statu quo sine/ante, valeur probante)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7 mars 2022, le présent recours à l'encontre de la décision sur opposition du 3 février 2022 a été interjeté dans le délai légal de trente jours (art. 60 LPGA) et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w:t>
      </w:r>
    </w:p>
    <w:p>
      <w:r>
        <w:t>Le litige porte sur le droit du recourant à des prestations de l’assurance-accidents pour les suites de l’accident du 2 novembre 2020 au-delà du 31 mai 2021.</w:t>
      </w:r>
    </w:p>
    <w:p>
      <w:r>
        <w:rPr>
          <w:b/>
        </w:rPr>
        <w:t>E. 2.1</w:t>
      </w:r>
    </w:p>
    <w:p>
      <w:r>
        <w:t>Selon l'article 6 alinéa 1 LAA, les prestations d'assurance sont allouées en cas d'accident professionnel, d'accident non professionnel et de maladie professionnelle. L’assurance alloue aussi ses prestations pour les lésions corporelles énumérées exhaustivement à l’article 6 alinéa 2 LAA, dont les déchirures du ménisque (let. c), pour autant qu’elles ne soient pas dues de manière prépondérante à l’usure ou à une maladie.</w:t>
      </w:r>
    </w:p>
    <w:p>
      <w:r>
        <w:rPr>
          <w:b/>
        </w:rPr>
        <w:t>E. 2.2</w:t>
      </w:r>
    </w:p>
    <w:p>
      <w:r>
        <w:t>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w:t>
      </w:r>
    </w:p>
    <w:p>
      <w:r>
        <w:t>- 10 -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Dans le domaine de l'assurance- accidents obligatoire, en cas d'atteinte à la santé physique, la causalité adéquate se recoupe largement avec la causalité naturelle, de sorte qu'elle ne joue pratiquement pas de rôle (ATF 123 V 102 ; 122 V 417 ; 118 V 286 consid. 3a ; 117 V 359 consid. 5d/bb).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139 V 176 consid. 5.3 ; 135 V 39 consid. 6.1 et les références), étant précisé que le fardeau de la preuve de la disparition du lien de causalité appartient à la partie qui invoque la suppression du droit, soit à l'assureur (ATF 146 V 51 consid. 5.1 et les références). Le seul fait que des symptômes douloureux ne se sont manifestés qu'après la survenance d'un accident ne suffit pas à établir un rapport de causalité naturelle avec cet accident (raisonnement post hoc ergo propter hoc ; ATF 119 V 335 consid. 2b/bb ; arrêt du Tribunal fédéral 8C_335/2018 du 7 mai 2019 consid. 5). Il convient en principe d'en rechercher l'étiologie et de vérifier, sur cette base, l'existence du rapport de causalité avec l'événement assuré. Il ne suffit pas que l'existence d'un rapport de cause</w:t>
      </w:r>
    </w:p>
    <w:p>
      <w:r>
        <w:t>- 11 - à effet soit simplement possible ; elle doit pouvoir être qualifiée de probable dans le cas particulier (ATF 129 V 177 consid. 3.1; arrêt du Tribunal fédéral 8C_169/2019 du 10 mars 2020 consid. 5.3).</w:t>
      </w:r>
    </w:p>
    <w:p>
      <w:r>
        <w:rPr>
          <w:b/>
        </w:rPr>
        <w:t>E. 2.3</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précité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130 II 425 consid. 2.1 et 125 I 127 consid. 6c/cc). Il ne se justifie pas d'écarter un rapport médical au seul motif qu'il est établi par le médecin interne d'un assureur social, respectivement par le médecin traitant (ou l'expert</w:t>
      </w:r>
    </w:p>
    <w:p>
      <w:r>
        <w:t>- 12 - privé) de la personne assurée, sans examiner autrement sa valeur probante (arrêt du Tribunal fédéral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et 135 V 465 consid. 4.4). En effet, si la jurisprudence a reconnu la valeur probante des rapports médicaux des médecins- conseils, elle a souligné qu'ils n'avaient pas la même force probante qu'une expertise judiciaire ou une expertise mise en œuvre par un assureur social dans une procédure selon l'article 44 LPGA (ATF 135 V 465 consid. 4.4 et les références).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du Tribunal fédéral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du Tribunal fédéral 8C_469/2020 du 26 mai 2021 consid. 3.2, 8C_46/2019 du 10 mai 2019 consid. 3.2.1 et U 492/00 du 31 juillet 2001, in RAMA 2001 n° U 438 p. 345). Enfin, il n'existe pas, dans la procédure d'octroi ou de refus de prestations d'assurances sociales, de droit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145 V 97 consid. 8.5, 142 V 58 consid. 5.1, 139 V 225 consid. 5.2 et 135 V 465 consid. 4.6 ; arrêt du Tribunal fédéral 9C_108/2011 du 24 octobre 2011 consid. 2.2).</w:t>
      </w:r>
    </w:p>
    <w:p>
      <w:r>
        <w:t>- 13 -</w:t>
      </w:r>
    </w:p>
    <w:p>
      <w:r>
        <w:rPr>
          <w:b/>
        </w:rPr>
        <w:t>E. 3</w:t>
      </w:r>
    </w:p>
    <w:p>
      <w:r>
        <w:t>février 2022 confirmée.</w:t>
      </w:r>
    </w:p>
    <w:p>
      <w:r>
        <w:rPr>
          <w:b/>
        </w:rPr>
        <w:t>E. 3.1</w:t>
      </w:r>
    </w:p>
    <w:p>
      <w:r>
        <w:t>Pour le Dr I _________, l’effort fourni - et non la chute - lors de l’évènement du 2 novembre 2020 avait décompensé des troubles dégénératifs lombaires persistants ; au 20 mai 2021, cet évènement ne jouait néanmoins plus de rôle dans la persistance des plaintes. Par ailleurs, l’ablation d’un corps étranger métallique au poignet gauche n’était pas à charge de la CNA, aucune lésion cutanée n’ayant été décrite lors de l’accident. Cet avis succinct a été complété et corroboré par un second médecin d’arrondissement, en la personne de la Dresse L _________. Dans son rapport du 8 septembre 2021, cette dernière a précisé que la tendinite de De Quervain reflétait une maladie dégénérative ou réactionnelle suite à un stress mécanique et que les facteurs de risque étaient, chez l’assuré, la surutilisation ainsi que l’âge. L’événement du 2 novembre 2020 avait tout au plus transitoirement aggravé une pathologie maladive préexistante (tendinopathie) pour une durée maximale de 2 à 4 mois, soit au plus tard le 2 mars 2021. Pour ce qui était de la lombalgie non déficitaire, l’examen clinique du Dr G _________ n’avait mis en évidence aucune limitation avec uniquement des douleurs L1/L2/L3 à la palpation ainsi qu’un réflexe achilléen D absent et un achilléen G hypo-vif ; le reste de l’examen était dans la norme. A cet examen rassurant, s’ajoutait une IRM lombosacrée du 14 janvier 2021 ne montrant, hormis une discopathie dégénérative étagée de L2 à S1, aucune atteinte ostéo-ligamentaire post-traumatique. Dans ce contexte, l’événement du 2 novembre 2020 avait transitoirement aggravé une atteinte préexistante sous la forme de troubles dégénératifs multi-étagés lombosacrés pour une durée maximale de six mois, soit au plus tard le 2 mai 2021. Finalement, le corps étranger retiré le 14 avril 2021 était vraisemblablement antérieur à l’accident et, de ce fait, dans lien avec l’accident, l’assuré n’ayant présenté aucune plaie lors de ce dernier (pièce 101 du dossier CNA). La Dresse L _________ a confirmé son appréciation dans son « Appréciation médicale » du 21 mars 2022</w:t>
      </w:r>
    </w:p>
    <w:p>
      <w:r>
        <w:rPr>
          <w:b/>
        </w:rPr>
        <w:t>E. 3.2</w:t>
      </w:r>
    </w:p>
    <w:p>
      <w:r>
        <w:t>En l’état du dossier, l’analyse détaillée de la Dresse L _________, rendue en connaissance du dossier, apparaît comme fondée et doit être confirmée. En effet, aucun avis médical contraire d’une valeur probante prépondérante ne vient mettre ses conclusions en doute. Contrairement à ce prétend le recourant, le Dr G _________ a, dans son rapport du 20 avril 2021, expressément refusé de prendre position sur le lien de causalité entre les séquelles résiduelles et l’événement du 2 novembre 2020 ; par</w:t>
      </w:r>
    </w:p>
    <w:p>
      <w:r>
        <w:t>- 14 - contre, force est de constater qu’il a retenu des discrépences entre un examen clinique pleinement rassurant et les importantes plaintes douloureuses rapportées par l’assuré (cf. pièce 46 du dossier CNA). Pour le recourant, qui a souligné ne jamais avoir souffert du dos et du poignet gauche par le passé, la CNA aurait dû retenir l’avis de son médecin traitant. Ce dernier a exprimé, dans son rapport transmis le 15 janvier 2021, que ses constatations lors de l’examen du 15 janvier 2021 concordaient avec l’événement du 2 novembre 2021 et lui semblaient plausibles. Son avis, au demeurant non motivé, est cependant uniquement basé sur un raisonnement post hoc ergo propter hoc lequel est insuffisant pour établir un rapport de causalité naturelle avec l’accident (ATF 119 V 335 consid. 2b/bb ; arrêt du Tribunal fédéral 8C_335/2018 du 7 mai 2019 consid. 5). A l’inverse, le Dr E _________ n’a pas critiqué les appréciations des médecins d’arrondissement ni leur interprétation des imageries. Or, en droit des assurances sociales, la règle du degré de la vraisemblance prépondérante exige que le rapport de cause à effet entre l’accident et la lésion ne soit pas seulement possible mais qu’il apparaisse comme probable (ATF 142 V 435 consid. 1 précité), ce que le Dr E _________ n’a pas été en mesure de démontrer. Il est du reste rappelé que pour faire douter de la fiabilité et de la pertinence d'une appréciation d'un médecin interne à l'assureur social, il ne suffit pas de lui opposer le seul désaccord d'un médecin traitant, dépourvu de toute explication circonstanciée et convaincante. Encore faut-il qu'on puisse également attribuer un caractère probant à l'appréciation du médecin traitant et que celle-ci laisse subsister des doutes suffisants sur la question médicale litigieuse, ce qui n’est en l’occurrence pas le cas (ATF 135 V 465 ; arrêt du Tribunal fédéral 8C_45/2018 du 17 décembre 2018 consid. 5). Aucun autre praticien, notamment ni le Dr J _________, ni le Dr M _________, n’ont finalement fourni des éléments permettant de mettre en doute les conclusions concordantes des médecins d’arrondissement. La situation médicale était dès lors suffisamment claire pour que la CNA puisse rendre sa décision sur opposition sans administrer un autre moyen de preuve (expertise médicale). Dans la même mesure, la Cour de céans peut dorénavant rendre un jugement valable sur la cause sans qu’il ne faille ordonner l’administration d’un autre moyen de preuve, à l’instar d’une expertise telle que souhaitée par le recourant (appréciation anticipée des moyens de preuve ; ATF 145 I 167 consid. 4.1, 144 II 427 consid. 3.1.3 et 141 I 60 consid. 3.3).</w:t>
      </w:r>
    </w:p>
    <w:p>
      <w:r>
        <w:t>- 15 - Le Tribunal soulignera encore que, s’agissant de l’opération au poignet gauche, c’est à juste titre que les médecins d’arrondissement et l’intimée ont souligné qu’aucune blessure en lien avec l’introduction d’un morceau métallique n’avait été constatée lors de l’évènement du 2 novembre 2020, ce qui corrobore l’absence de tout lien de causalité avec cette intervention. Pour le surplus, aucune fracture ou autre lésion d’origine accidentelle n’a été relevée aux IRM (cf. le rapport d’IRM du Dr D _________ du 12 novembre 2020), seuls des éléments d’ordre dégénératifs/maladifs ayant été relevés (noyau d’ossification, petits kystes, ganglion et arguments parlant en faveur d’une tendinite de De Quervain). S’agissant du dos, les IRM n’ont également pas parlé en faveur d’une lésion accidentelle, mais uniquement de troubles dégénératifs multi-étagés lombosacrés (cf. le rapport d’IRM du Dr D _________ du 26 janvier 2021). Tous ces éléments corroborent l’appréciation de la Dresse L _________ voulant que l’événement du 2 novembre 2020 n’ait fait qu’aggraver transitoirement des pathologies préexistantes, à savoir la tendinopathie pour une durée maximale de 2 à 4 mois, et les troubles dégénératifs multi-étagés lombosacrés, pour une durée maximale de six mois, soit au plus tard le 2 mai 2021.</w:t>
      </w:r>
    </w:p>
    <w:p>
      <w:r>
        <w:rPr>
          <w:b/>
        </w:rPr>
        <w:t>E. 3.3</w:t>
      </w:r>
    </w:p>
    <w:p>
      <w:r>
        <w:t>Au vu des éléments qui précèdent, aucune raison objective ne justifie de s’écarter de l’avis probant de la Dresse L _________, corroborant la prise de position du Dr I _________. Pour la Dresse L _________, en date du 2 mai 2021, le recourant avait retrouvé l’état de santé qui aurait été le sien sans l’accident du 2 novembre 2020. Par conséquent, en date du 31 mai 2021, l’intimée pouvait légalement considérer que les lésions somatiques résiduelles du recourant n’étaient plus en relation de causalité naturelle avec son accident du 2 novembre 2020. Il s’ensuit que le recours du 7 mars 2022 est rejeté et la décision sur opposition du</w:t>
      </w:r>
    </w:p>
    <w:p>
      <w:r>
        <w:rPr>
          <w:b/>
        </w:rPr>
        <w:t>E. 4</w:t>
      </w:r>
    </w:p>
    <w:p>
      <w:r>
        <w:t>La procédure étant gratuite, il n’est pas perçu de frais (art. 61 let. fbis LPGA ; la LAA ne contenant pas de disposition spéciale prévoyant la perception de frais judiciaires).</w:t>
      </w:r>
    </w:p>
    <w:p>
      <w:r>
        <w:rPr>
          <w:b/>
        </w:rPr>
        <w:t>E. 5</w:t>
      </w:r>
    </w:p>
    <w:p>
      <w:r>
        <w:t>Vu l’issue de la cause, il n’est pas alloué de dépens au recourant (art. 61 let. g LPGA a contrario), ni à l’intimée, laquelle agit comme autorité chargée de tâches de droit public (art. 91 al. 3 LPJA ; ATF 126 V 143 consid. 4).</w:t>
      </w:r>
    </w:p>
    <w:p>
      <w:r>
        <w:t>- 16 - Prononce</w:t>
      </w:r>
    </w:p>
    <w:p>
      <w:r>
        <w:t>1. Le recours est rejeté. 2. Il n'est pas perçu de frais, ni alloué de dépens. Sion, le 16 novembre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